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i/>
          <w:iCs/>
          <w:szCs w:val="28"/>
          <w:lang w:eastAsia="fr-FR"/>
        </w:rPr>
        <w:id w:val="-595556880"/>
        <w:docPartObj>
          <w:docPartGallery w:val="Cover Pages"/>
          <w:docPartUnique/>
        </w:docPartObj>
      </w:sdtPr>
      <w:sdtEndPr>
        <w:rPr>
          <w:i w:val="0"/>
          <w:iCs w:val="0"/>
          <w:color w:val="FFFFFF" w:themeColor="background1"/>
          <w:sz w:val="60"/>
          <w:szCs w:val="60"/>
        </w:rPr>
      </w:sdtEndPr>
      <w:sdtContent>
        <w:p w14:paraId="31FCA63A" w14:textId="74ECC19C" w:rsidR="00502907" w:rsidRPr="00502907" w:rsidRDefault="00502907" w:rsidP="00502907">
          <w:pPr>
            <w:jc w:val="left"/>
            <w:rPr>
              <w:b/>
              <w:bCs/>
              <w:i/>
              <w:iCs/>
              <w:color w:val="FFFFFF" w:themeColor="background1"/>
              <w:szCs w:val="28"/>
              <w:lang w:eastAsia="fr-FR"/>
            </w:rPr>
          </w:pPr>
          <w:r w:rsidRPr="00502907">
            <w:rPr>
              <w:b/>
              <w:bCs/>
              <w:i/>
              <w:iCs/>
              <w:noProof/>
              <w:color w:val="FFFFFF" w:themeColor="background1"/>
              <w:szCs w:val="28"/>
              <w:lang w:eastAsia="fr-FR"/>
              <w14:ligatures w14:val="standardContextual"/>
            </w:rPr>
            <mc:AlternateContent>
              <mc:Choice Requires="wps">
                <w:drawing>
                  <wp:anchor distT="0" distB="0" distL="114300" distR="114300" simplePos="0" relativeHeight="251654144" behindDoc="1" locked="0" layoutInCell="1" allowOverlap="1" wp14:anchorId="39CC7483" wp14:editId="1F30D24B">
                    <wp:simplePos x="0" y="0"/>
                    <wp:positionH relativeFrom="column">
                      <wp:posOffset>-895350</wp:posOffset>
                    </wp:positionH>
                    <wp:positionV relativeFrom="paragraph">
                      <wp:posOffset>-914400</wp:posOffset>
                    </wp:positionV>
                    <wp:extent cx="15144750" cy="10820400"/>
                    <wp:effectExtent l="0" t="0" r="19050" b="19050"/>
                    <wp:wrapNone/>
                    <wp:docPr id="1434749712" name="Rectangle 4"/>
                    <wp:cNvGraphicFramePr/>
                    <a:graphic xmlns:a="http://schemas.openxmlformats.org/drawingml/2006/main">
                      <a:graphicData uri="http://schemas.microsoft.com/office/word/2010/wordprocessingShape">
                        <wps:wsp>
                          <wps:cNvSpPr/>
                          <wps:spPr>
                            <a:xfrm>
                              <a:off x="0" y="0"/>
                              <a:ext cx="15144750" cy="108204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AA94D6" id="Rectangle 4" o:spid="_x0000_s1026" style="position:absolute;margin-left:-70.5pt;margin-top:-1in;width:1192.5pt;height:85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" fillcolor="#4472c4 [3204]" strokecolor="#09101d [484]" strokeweight="1pt"/>
                </w:pict>
              </mc:Fallback>
            </mc:AlternateContent>
          </w:r>
          <w:r w:rsidRPr="00502907">
            <w:rPr>
              <w:b/>
              <w:bCs/>
              <w:i/>
              <w:iCs/>
              <w:color w:val="FFFFFF" w:themeColor="background1"/>
              <w:szCs w:val="28"/>
              <w:lang w:eastAsia="fr-FR"/>
            </w:rPr>
            <w:t>Module 1 : Audit de la situation juridique des personnes et des biens et stratégies patrimoniales civiles</w:t>
          </w:r>
        </w:p>
        <w:p w14:paraId="4481C2CE" w14:textId="77777777" w:rsidR="00502907" w:rsidRPr="00502907" w:rsidRDefault="00502907" w:rsidP="00502907">
          <w:pPr>
            <w:jc w:val="left"/>
            <w:rPr>
              <w:b/>
              <w:bCs/>
              <w:i/>
              <w:iCs/>
              <w:color w:val="FFFFFF" w:themeColor="background1"/>
              <w:szCs w:val="28"/>
              <w:lang w:eastAsia="fr-FR"/>
            </w:rPr>
          </w:pPr>
          <w:r w:rsidRPr="00502907">
            <w:rPr>
              <w:b/>
              <w:bCs/>
              <w:i/>
              <w:iCs/>
              <w:color w:val="FFFFFF" w:themeColor="background1"/>
              <w:szCs w:val="28"/>
              <w:lang w:eastAsia="fr-FR"/>
            </w:rPr>
            <w:t>Leçon 5 : Règles de droit civil et stratégie de transmission du patrimoine familial</w:t>
          </w:r>
        </w:p>
        <w:p w14:paraId="05EA669C" w14:textId="77777777" w:rsidR="00502907" w:rsidRPr="00502907" w:rsidRDefault="00502907" w:rsidP="00502907">
          <w:pPr>
            <w:jc w:val="left"/>
            <w:rPr>
              <w:b/>
              <w:bCs/>
              <w:color w:val="FFFFFF" w:themeColor="background1"/>
              <w:lang w:eastAsia="fr-FR"/>
            </w:rPr>
          </w:pPr>
        </w:p>
        <w:p w14:paraId="1C6175CB" w14:textId="77777777" w:rsidR="00502907" w:rsidRPr="00502907" w:rsidRDefault="00502907" w:rsidP="00502907">
          <w:pPr>
            <w:jc w:val="left"/>
            <w:rPr>
              <w:b/>
              <w:bCs/>
              <w:color w:val="FFFFFF" w:themeColor="background1"/>
              <w:lang w:eastAsia="fr-FR"/>
            </w:rPr>
          </w:pPr>
        </w:p>
        <w:p w14:paraId="684DB038" w14:textId="77777777" w:rsidR="00502907" w:rsidRPr="00502907" w:rsidRDefault="00502907" w:rsidP="00502907">
          <w:pPr>
            <w:jc w:val="left"/>
            <w:rPr>
              <w:b/>
              <w:bCs/>
              <w:color w:val="FFFFFF" w:themeColor="background1"/>
              <w:lang w:eastAsia="fr-FR"/>
            </w:rPr>
          </w:pPr>
        </w:p>
        <w:p w14:paraId="2E0D57C6" w14:textId="77777777" w:rsidR="00502907" w:rsidRPr="00502907" w:rsidRDefault="00502907" w:rsidP="00502907">
          <w:pPr>
            <w:jc w:val="left"/>
            <w:rPr>
              <w:b/>
              <w:bCs/>
              <w:color w:val="FFFFFF" w:themeColor="background1"/>
              <w:lang w:eastAsia="fr-FR"/>
            </w:rPr>
          </w:pPr>
        </w:p>
        <w:p w14:paraId="3414B6FB" w14:textId="77777777" w:rsidR="00502907" w:rsidRPr="00502907" w:rsidRDefault="00502907" w:rsidP="00502907">
          <w:pPr>
            <w:jc w:val="left"/>
            <w:rPr>
              <w:b/>
              <w:bCs/>
              <w:color w:val="FFFFFF" w:themeColor="background1"/>
              <w:lang w:eastAsia="fr-FR"/>
            </w:rPr>
          </w:pPr>
        </w:p>
        <w:p w14:paraId="716067DA" w14:textId="77777777" w:rsidR="00502907" w:rsidRPr="00502907" w:rsidRDefault="00502907" w:rsidP="00502907">
          <w:pPr>
            <w:jc w:val="left"/>
            <w:rPr>
              <w:b/>
              <w:bCs/>
              <w:color w:val="FFFFFF" w:themeColor="background1"/>
              <w:lang w:eastAsia="fr-FR"/>
            </w:rPr>
          </w:pPr>
        </w:p>
        <w:p w14:paraId="48A67D45" w14:textId="77777777" w:rsidR="00502907" w:rsidRPr="00502907" w:rsidRDefault="00502907" w:rsidP="00502907">
          <w:pPr>
            <w:jc w:val="left"/>
            <w:rPr>
              <w:b/>
              <w:bCs/>
              <w:color w:val="FFFFFF" w:themeColor="background1"/>
              <w:lang w:eastAsia="fr-FR"/>
            </w:rPr>
          </w:pPr>
        </w:p>
        <w:p w14:paraId="1E666C4E" w14:textId="77777777" w:rsidR="00502907" w:rsidRPr="00502907" w:rsidRDefault="00502907" w:rsidP="00502907">
          <w:pPr>
            <w:jc w:val="left"/>
            <w:rPr>
              <w:b/>
              <w:bCs/>
              <w:color w:val="FFFFFF" w:themeColor="background1"/>
              <w:lang w:eastAsia="fr-FR"/>
            </w:rPr>
          </w:pPr>
        </w:p>
        <w:p w14:paraId="43E30A0D" w14:textId="3620ABAA" w:rsidR="00677448" w:rsidRPr="00502907" w:rsidRDefault="00502907" w:rsidP="00502907">
          <w:pPr>
            <w:jc w:val="left"/>
            <w:rPr>
              <w:color w:val="FFFFFF" w:themeColor="background1"/>
              <w:sz w:val="60"/>
              <w:szCs w:val="60"/>
              <w:lang w:eastAsia="fr-FR"/>
            </w:rPr>
          </w:pPr>
          <w:r w:rsidRPr="00502907">
            <w:rPr>
              <w:b/>
              <w:bCs/>
              <w:color w:val="FFFFFF" w:themeColor="background1"/>
              <w:sz w:val="60"/>
              <w:szCs w:val="60"/>
              <w:lang w:eastAsia="fr-FR"/>
            </w:rPr>
            <w:t>Chapitre 6 : De la gestion des successions et libéralités transfrontalières</w:t>
          </w:r>
          <w:r w:rsidR="00677448" w:rsidRPr="00502907">
            <w:rPr>
              <w:b/>
              <w:bCs/>
              <w:color w:val="FFFFFF" w:themeColor="background1"/>
              <w:sz w:val="60"/>
              <w:szCs w:val="60"/>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5C5367">
          <w:pPr>
            <w:jc w:val="left"/>
          </w:pPr>
          <w:r>
            <w:t>Table des matières</w:t>
          </w:r>
        </w:p>
        <w:p w14:paraId="06DFBF81" w14:textId="58F6FB90" w:rsidR="00502907" w:rsidRDefault="00B8067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6729675" w:history="1">
            <w:r w:rsidR="00502907" w:rsidRPr="00920C3A">
              <w:rPr>
                <w:rStyle w:val="Lienhypertexte"/>
                <w:noProof/>
              </w:rPr>
              <w:t>I.</w:t>
            </w:r>
            <w:r w:rsidR="00502907">
              <w:rPr>
                <w:rFonts w:asciiTheme="minorHAnsi" w:eastAsiaTheme="minorEastAsia" w:hAnsiTheme="minorHAnsi"/>
                <w:noProof/>
                <w:kern w:val="2"/>
                <w:sz w:val="24"/>
                <w:szCs w:val="24"/>
                <w:lang w:val="en-US"/>
                <w14:ligatures w14:val="standardContextual"/>
              </w:rPr>
              <w:tab/>
            </w:r>
            <w:r w:rsidR="00502907" w:rsidRPr="00920C3A">
              <w:rPr>
                <w:rStyle w:val="Lienhypertexte"/>
                <w:noProof/>
              </w:rPr>
              <w:t>Les testaments</w:t>
            </w:r>
            <w:r w:rsidR="00502907">
              <w:rPr>
                <w:noProof/>
                <w:webHidden/>
              </w:rPr>
              <w:tab/>
            </w:r>
            <w:r w:rsidR="00502907">
              <w:rPr>
                <w:noProof/>
                <w:webHidden/>
              </w:rPr>
              <w:fldChar w:fldCharType="begin"/>
            </w:r>
            <w:r w:rsidR="00502907">
              <w:rPr>
                <w:noProof/>
                <w:webHidden/>
              </w:rPr>
              <w:instrText xml:space="preserve"> PAGEREF _Toc186729675 \h </w:instrText>
            </w:r>
            <w:r w:rsidR="00502907">
              <w:rPr>
                <w:noProof/>
                <w:webHidden/>
              </w:rPr>
            </w:r>
            <w:r w:rsidR="00502907">
              <w:rPr>
                <w:noProof/>
                <w:webHidden/>
              </w:rPr>
              <w:fldChar w:fldCharType="separate"/>
            </w:r>
            <w:r w:rsidR="00502907">
              <w:rPr>
                <w:noProof/>
                <w:webHidden/>
              </w:rPr>
              <w:t>2</w:t>
            </w:r>
            <w:r w:rsidR="00502907">
              <w:rPr>
                <w:noProof/>
                <w:webHidden/>
              </w:rPr>
              <w:fldChar w:fldCharType="end"/>
            </w:r>
          </w:hyperlink>
        </w:p>
        <w:p w14:paraId="50C2706F" w14:textId="71E5AD8D" w:rsidR="00502907" w:rsidRDefault="00502907">
          <w:pPr>
            <w:pStyle w:val="TM3"/>
            <w:rPr>
              <w:rFonts w:asciiTheme="minorHAnsi" w:eastAsiaTheme="minorEastAsia" w:hAnsiTheme="minorHAnsi"/>
              <w:noProof/>
              <w:kern w:val="2"/>
              <w:sz w:val="24"/>
              <w:szCs w:val="24"/>
              <w:lang w:val="en-US"/>
              <w14:ligatures w14:val="standardContextual"/>
            </w:rPr>
          </w:pPr>
          <w:hyperlink w:anchor="_Toc186729676" w:history="1">
            <w:r w:rsidRPr="00920C3A">
              <w:rPr>
                <w:rStyle w:val="Lienhypertexte"/>
                <w:noProof/>
              </w:rPr>
              <w:t>1.</w:t>
            </w:r>
            <w:r>
              <w:rPr>
                <w:rFonts w:asciiTheme="minorHAnsi" w:eastAsiaTheme="minorEastAsia" w:hAnsiTheme="minorHAnsi"/>
                <w:noProof/>
                <w:kern w:val="2"/>
                <w:sz w:val="24"/>
                <w:szCs w:val="24"/>
                <w:lang w:val="en-US"/>
                <w14:ligatures w14:val="standardContextual"/>
              </w:rPr>
              <w:tab/>
            </w:r>
            <w:r w:rsidRPr="00920C3A">
              <w:rPr>
                <w:rStyle w:val="Lienhypertexte"/>
                <w:noProof/>
              </w:rPr>
              <w:t>Choix de la loi applicable dans une succession internationale</w:t>
            </w:r>
            <w:r>
              <w:rPr>
                <w:noProof/>
                <w:webHidden/>
              </w:rPr>
              <w:tab/>
            </w:r>
            <w:r>
              <w:rPr>
                <w:noProof/>
                <w:webHidden/>
              </w:rPr>
              <w:fldChar w:fldCharType="begin"/>
            </w:r>
            <w:r>
              <w:rPr>
                <w:noProof/>
                <w:webHidden/>
              </w:rPr>
              <w:instrText xml:space="preserve"> PAGEREF _Toc186729676 \h </w:instrText>
            </w:r>
            <w:r>
              <w:rPr>
                <w:noProof/>
                <w:webHidden/>
              </w:rPr>
            </w:r>
            <w:r>
              <w:rPr>
                <w:noProof/>
                <w:webHidden/>
              </w:rPr>
              <w:fldChar w:fldCharType="separate"/>
            </w:r>
            <w:r>
              <w:rPr>
                <w:noProof/>
                <w:webHidden/>
              </w:rPr>
              <w:t>4</w:t>
            </w:r>
            <w:r>
              <w:rPr>
                <w:noProof/>
                <w:webHidden/>
              </w:rPr>
              <w:fldChar w:fldCharType="end"/>
            </w:r>
          </w:hyperlink>
        </w:p>
        <w:p w14:paraId="4E60317C" w14:textId="48F10AB8" w:rsidR="00502907" w:rsidRDefault="00502907">
          <w:pPr>
            <w:pStyle w:val="TM3"/>
            <w:rPr>
              <w:rFonts w:asciiTheme="minorHAnsi" w:eastAsiaTheme="minorEastAsia" w:hAnsiTheme="minorHAnsi"/>
              <w:noProof/>
              <w:kern w:val="2"/>
              <w:sz w:val="24"/>
              <w:szCs w:val="24"/>
              <w:lang w:val="en-US"/>
              <w14:ligatures w14:val="standardContextual"/>
            </w:rPr>
          </w:pPr>
          <w:hyperlink w:anchor="_Toc186729677" w:history="1">
            <w:r w:rsidRPr="00920C3A">
              <w:rPr>
                <w:rStyle w:val="Lienhypertexte"/>
                <w:noProof/>
              </w:rPr>
              <w:t>2.</w:t>
            </w:r>
            <w:r>
              <w:rPr>
                <w:rFonts w:asciiTheme="minorHAnsi" w:eastAsiaTheme="minorEastAsia" w:hAnsiTheme="minorHAnsi"/>
                <w:noProof/>
                <w:kern w:val="2"/>
                <w:sz w:val="24"/>
                <w:szCs w:val="24"/>
                <w:lang w:val="en-US"/>
                <w14:ligatures w14:val="standardContextual"/>
              </w:rPr>
              <w:tab/>
            </w:r>
            <w:r w:rsidRPr="00920C3A">
              <w:rPr>
                <w:rStyle w:val="Lienhypertexte"/>
                <w:noProof/>
              </w:rPr>
              <w:t>Validité d’un testament et succession internationale</w:t>
            </w:r>
            <w:r>
              <w:rPr>
                <w:noProof/>
                <w:webHidden/>
              </w:rPr>
              <w:tab/>
            </w:r>
            <w:r>
              <w:rPr>
                <w:noProof/>
                <w:webHidden/>
              </w:rPr>
              <w:fldChar w:fldCharType="begin"/>
            </w:r>
            <w:r>
              <w:rPr>
                <w:noProof/>
                <w:webHidden/>
              </w:rPr>
              <w:instrText xml:space="preserve"> PAGEREF _Toc186729677 \h </w:instrText>
            </w:r>
            <w:r>
              <w:rPr>
                <w:noProof/>
                <w:webHidden/>
              </w:rPr>
            </w:r>
            <w:r>
              <w:rPr>
                <w:noProof/>
                <w:webHidden/>
              </w:rPr>
              <w:fldChar w:fldCharType="separate"/>
            </w:r>
            <w:r>
              <w:rPr>
                <w:noProof/>
                <w:webHidden/>
              </w:rPr>
              <w:t>4</w:t>
            </w:r>
            <w:r>
              <w:rPr>
                <w:noProof/>
                <w:webHidden/>
              </w:rPr>
              <w:fldChar w:fldCharType="end"/>
            </w:r>
          </w:hyperlink>
        </w:p>
        <w:p w14:paraId="5B572FBF" w14:textId="6D6FEC8D" w:rsidR="00502907" w:rsidRDefault="00502907">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6729678" w:history="1">
            <w:r w:rsidRPr="00920C3A">
              <w:rPr>
                <w:rStyle w:val="Lienhypertexte"/>
                <w:noProof/>
              </w:rPr>
              <w:t>II.</w:t>
            </w:r>
            <w:r>
              <w:rPr>
                <w:rFonts w:asciiTheme="minorHAnsi" w:eastAsiaTheme="minorEastAsia" w:hAnsiTheme="minorHAnsi"/>
                <w:noProof/>
                <w:kern w:val="2"/>
                <w:sz w:val="24"/>
                <w:szCs w:val="24"/>
                <w:lang w:val="en-US"/>
                <w14:ligatures w14:val="standardContextual"/>
              </w:rPr>
              <w:tab/>
            </w:r>
            <w:r w:rsidRPr="00920C3A">
              <w:rPr>
                <w:rStyle w:val="Lienhypertexte"/>
                <w:noProof/>
              </w:rPr>
              <w:t>L’utilisation des conventions fiscales</w:t>
            </w:r>
            <w:r>
              <w:rPr>
                <w:noProof/>
                <w:webHidden/>
              </w:rPr>
              <w:tab/>
            </w:r>
            <w:r>
              <w:rPr>
                <w:noProof/>
                <w:webHidden/>
              </w:rPr>
              <w:fldChar w:fldCharType="begin"/>
            </w:r>
            <w:r>
              <w:rPr>
                <w:noProof/>
                <w:webHidden/>
              </w:rPr>
              <w:instrText xml:space="preserve"> PAGEREF _Toc186729678 \h </w:instrText>
            </w:r>
            <w:r>
              <w:rPr>
                <w:noProof/>
                <w:webHidden/>
              </w:rPr>
            </w:r>
            <w:r>
              <w:rPr>
                <w:noProof/>
                <w:webHidden/>
              </w:rPr>
              <w:fldChar w:fldCharType="separate"/>
            </w:r>
            <w:r>
              <w:rPr>
                <w:noProof/>
                <w:webHidden/>
              </w:rPr>
              <w:t>5</w:t>
            </w:r>
            <w:r>
              <w:rPr>
                <w:noProof/>
                <w:webHidden/>
              </w:rPr>
              <w:fldChar w:fldCharType="end"/>
            </w:r>
          </w:hyperlink>
        </w:p>
        <w:p w14:paraId="76D52D41" w14:textId="3ACF9A17" w:rsidR="00B8067C" w:rsidRDefault="00B8067C" w:rsidP="005C5367">
          <w:pPr>
            <w:jc w:val="left"/>
            <w:outlineLvl w:val="2"/>
          </w:pPr>
          <w:r>
            <w:rPr>
              <w:b/>
              <w:bCs/>
              <w:noProof/>
            </w:rPr>
            <w:fldChar w:fldCharType="end"/>
          </w:r>
        </w:p>
      </w:sdtContent>
    </w:sdt>
    <w:p w14:paraId="3D0E5ECF" w14:textId="56510FD7" w:rsidR="00691328" w:rsidRDefault="00B42117" w:rsidP="005C5367">
      <w:pPr>
        <w:pStyle w:val="Titre1"/>
        <w:jc w:val="left"/>
        <w:rPr>
          <w:rFonts w:eastAsia="Times New Roman"/>
          <w:lang w:eastAsia="fr-FR"/>
        </w:rPr>
      </w:pPr>
      <w:r>
        <w:rPr>
          <w:rFonts w:eastAsia="Times New Roman"/>
          <w:lang w:eastAsia="fr-FR"/>
        </w:rPr>
        <w:br w:type="page"/>
      </w:r>
    </w:p>
    <w:p w14:paraId="13C18315" w14:textId="37A77519" w:rsidR="00502907" w:rsidRDefault="00502907" w:rsidP="00502907">
      <w:r>
        <w:rPr>
          <w:noProof/>
          <w14:ligatures w14:val="standardContextual"/>
        </w:rPr>
        <w:lastRenderedPageBreak/>
        <mc:AlternateContent>
          <mc:Choice Requires="wps">
            <w:drawing>
              <wp:anchor distT="0" distB="0" distL="114300" distR="114300" simplePos="0" relativeHeight="251660288" behindDoc="1" locked="0" layoutInCell="1" allowOverlap="1" wp14:anchorId="2E441667" wp14:editId="2070EA74">
                <wp:simplePos x="0" y="0"/>
                <wp:positionH relativeFrom="column">
                  <wp:posOffset>-914400</wp:posOffset>
                </wp:positionH>
                <wp:positionV relativeFrom="paragraph">
                  <wp:posOffset>-895350</wp:posOffset>
                </wp:positionV>
                <wp:extent cx="15106650" cy="10668000"/>
                <wp:effectExtent l="0" t="0" r="19050" b="19050"/>
                <wp:wrapNone/>
                <wp:docPr id="720801810" name="Rectangle 6"/>
                <wp:cNvGraphicFramePr/>
                <a:graphic xmlns:a="http://schemas.openxmlformats.org/drawingml/2006/main">
                  <a:graphicData uri="http://schemas.microsoft.com/office/word/2010/wordprocessingShape">
                    <wps:wsp>
                      <wps:cNvSpPr/>
                      <wps:spPr>
                        <a:xfrm>
                          <a:off x="0" y="0"/>
                          <a:ext cx="15106650" cy="106680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4A595" id="Rectangle 6" o:spid="_x0000_s1026" style="position:absolute;margin-left:-1in;margin-top:-70.5pt;width:1189.5pt;height:840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" fillcolor="#4472c4 [3204]" strokecolor="#09101d [484]" strokeweight="1pt"/>
            </w:pict>
          </mc:Fallback>
        </mc:AlternateContent>
      </w:r>
    </w:p>
    <w:p w14:paraId="686D44F1" w14:textId="77777777" w:rsidR="00502907" w:rsidRDefault="00502907" w:rsidP="00502907"/>
    <w:p w14:paraId="2AB84884" w14:textId="77777777" w:rsidR="00502907" w:rsidRDefault="00502907" w:rsidP="00502907"/>
    <w:p w14:paraId="19F5CE43" w14:textId="77777777" w:rsidR="00502907" w:rsidRDefault="00502907" w:rsidP="00502907"/>
    <w:p w14:paraId="61E76FB2" w14:textId="77777777" w:rsidR="00502907" w:rsidRDefault="00502907" w:rsidP="00502907"/>
    <w:p w14:paraId="66BD90DB" w14:textId="77777777" w:rsidR="00502907" w:rsidRDefault="00502907" w:rsidP="00502907"/>
    <w:p w14:paraId="5354A608" w14:textId="77777777" w:rsidR="00502907" w:rsidRDefault="00502907" w:rsidP="00502907"/>
    <w:p w14:paraId="4D044C8E" w14:textId="77777777" w:rsidR="00502907" w:rsidRDefault="00502907" w:rsidP="00502907"/>
    <w:p w14:paraId="6199BC9C" w14:textId="77777777" w:rsidR="00502907" w:rsidRDefault="00502907" w:rsidP="00502907"/>
    <w:p w14:paraId="3A17A19E" w14:textId="38F9C8D1" w:rsidR="00502907" w:rsidRPr="00502907" w:rsidRDefault="00691328" w:rsidP="00502907">
      <w:pPr>
        <w:pStyle w:val="Titre2"/>
      </w:pPr>
      <w:bookmarkStart w:id="0" w:name="_Toc186729675"/>
      <w:r w:rsidRPr="00502907">
        <w:t>Les testaments</w:t>
      </w:r>
      <w:bookmarkEnd w:id="0"/>
      <w:r w:rsidRPr="00502907">
        <w:t> </w:t>
      </w:r>
    </w:p>
    <w:p w14:paraId="2DE1CE24" w14:textId="77777777" w:rsidR="00502907" w:rsidRDefault="00502907" w:rsidP="00502907">
      <w:pPr>
        <w:pStyle w:val="CGPC-elearning"/>
        <w:rPr>
          <w:rFonts w:eastAsiaTheme="majorEastAsia"/>
          <w:color w:val="3A5D9C"/>
          <w:sz w:val="44"/>
          <w:szCs w:val="26"/>
        </w:rPr>
      </w:pPr>
      <w:r>
        <w:br w:type="page"/>
      </w:r>
    </w:p>
    <w:p w14:paraId="379FEC43" w14:textId="57E7C40D" w:rsidR="00502907" w:rsidRDefault="00691328" w:rsidP="00502907">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325490A8" wp14:editId="28251B85">
            <wp:extent cx="12744415" cy="7181850"/>
            <wp:effectExtent l="533400" t="457200" r="800735" b="800100"/>
            <wp:docPr id="2076838825"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754352" cy="718745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715912D7" w14:textId="77777777" w:rsidR="00502907" w:rsidRDefault="00502907" w:rsidP="00502907">
      <w:pPr>
        <w:pStyle w:val="CGPC-elearning"/>
        <w:rPr>
          <w:rFonts w:eastAsia="Times New Roman"/>
          <w:lang w:eastAsia="fr-FR"/>
        </w:rPr>
      </w:pPr>
      <w:r>
        <w:br w:type="page"/>
      </w:r>
    </w:p>
    <w:p w14:paraId="28178CC2" w14:textId="36A51F2F" w:rsidR="00691328" w:rsidRDefault="00691328" w:rsidP="003D4947">
      <w:pPr>
        <w:pStyle w:val="Titre3"/>
      </w:pPr>
      <w:bookmarkStart w:id="1" w:name="_Toc186729676"/>
      <w:r>
        <w:lastRenderedPageBreak/>
        <w:t>Choix de la loi applicable dans une succession internationale</w:t>
      </w:r>
      <w:bookmarkEnd w:id="1"/>
    </w:p>
    <w:p w14:paraId="54967B84" w14:textId="77777777" w:rsidR="00691328" w:rsidRDefault="00691328" w:rsidP="005C5367">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A7FB7E8" w14:textId="77AA1FE5" w:rsidR="00691328" w:rsidRPr="003C015F" w:rsidRDefault="00691328" w:rsidP="003D4947">
      <w:pPr>
        <w:pStyle w:val="CGPC-elearning"/>
      </w:pPr>
      <w:r w:rsidRPr="003C015F">
        <w:t>Si le lieu de la dernière résidence habituelle est difficilement fixé, un testament peut désigner la loi nationale plutôt que la loi de la résidence. En cas de pluri-nationalités, le règlement européen met sur le même plan les différentes nationalités. Ce choix présente notamment l’avantage de la stabilité puisque le changement de résidence ne le remettra pas en cause. Plusieurs conditions de forme sont alors à respecter :</w:t>
      </w:r>
    </w:p>
    <w:p w14:paraId="00BF196D" w14:textId="77777777" w:rsidR="00691328" w:rsidRPr="003C015F" w:rsidRDefault="00691328" w:rsidP="003D4947">
      <w:pPr>
        <w:pStyle w:val="CGPC-elearning"/>
      </w:pPr>
      <w:r w:rsidRPr="003C015F">
        <w:t>la personne doit tout d’abord choisir comme loi régissant l’ensemble de sa succession la loi de l’État dont elle possède la nationalité au moment où elle fait ce choix ou au moment de son décès ;</w:t>
      </w:r>
    </w:p>
    <w:p w14:paraId="3E3F0B6B" w14:textId="77777777" w:rsidR="00691328" w:rsidRPr="003C015F" w:rsidRDefault="00691328" w:rsidP="003D4947">
      <w:pPr>
        <w:pStyle w:val="CGPC-elearning"/>
      </w:pPr>
      <w:r w:rsidRPr="003C015F">
        <w:t>ce choix doit être formulé de manière expresse dans une déclaration revêtant la forme d’une disposition à cause de mort ;</w:t>
      </w:r>
    </w:p>
    <w:p w14:paraId="13A5D0C8" w14:textId="77777777" w:rsidR="00691328" w:rsidRPr="003C015F" w:rsidRDefault="00691328" w:rsidP="003D4947">
      <w:pPr>
        <w:pStyle w:val="CGPC-elearning"/>
      </w:pPr>
      <w:r w:rsidRPr="003C015F">
        <w:t>la validité au fond de l’acte, dans lequel le choix de loi est effectué, est régie par la loi choisie ;</w:t>
      </w:r>
    </w:p>
    <w:p w14:paraId="5B473D7B" w14:textId="77777777" w:rsidR="00691328" w:rsidRPr="003C015F" w:rsidRDefault="00691328" w:rsidP="003D4947">
      <w:pPr>
        <w:pStyle w:val="CGPC-elearning"/>
      </w:pPr>
      <w:r w:rsidRPr="003C015F">
        <w:t>la loi choisie peut être celle de n’importe quel État, membre de l’Union européenne ou non.</w:t>
      </w:r>
    </w:p>
    <w:p w14:paraId="570E73B2" w14:textId="77777777" w:rsidR="00691328" w:rsidRPr="003C015F" w:rsidRDefault="00691328" w:rsidP="003D4947">
      <w:pPr>
        <w:pStyle w:val="CGPC-elearning"/>
      </w:pPr>
      <w:r w:rsidRPr="003C015F">
        <w:t>Le fait que la succession soit soumise à une seule loi, éventuellement étrangère, n’aura par ailleurs aucune influence sur les droits de succession. En matière fiscale, continueront de s’appliquer les règles ci-après énoncées.</w:t>
      </w:r>
    </w:p>
    <w:p w14:paraId="60794F99" w14:textId="746BCD08" w:rsidR="00691328" w:rsidRDefault="00691328" w:rsidP="003D4947">
      <w:pPr>
        <w:pStyle w:val="Titre3"/>
        <w:rPr>
          <w:szCs w:val="36"/>
        </w:rPr>
      </w:pPr>
      <w:bookmarkStart w:id="2" w:name="_Toc186729677"/>
      <w:r>
        <w:t>Validité d’un testament et succession internationale</w:t>
      </w:r>
      <w:bookmarkEnd w:id="2"/>
    </w:p>
    <w:p w14:paraId="7A1C5EB2" w14:textId="77777777" w:rsidR="00691328" w:rsidRDefault="00691328" w:rsidP="005C5367">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8EF9BEA" w14:textId="66A59A46" w:rsidR="00691328" w:rsidRPr="003C015F" w:rsidRDefault="00691328" w:rsidP="003D4947">
      <w:pPr>
        <w:pStyle w:val="CGPC-elearning"/>
      </w:pPr>
      <w:r w:rsidRPr="003C015F">
        <w:t>Un testament est en principe valable s’il est conforme à la loi de l’État où il a été rédigé.</w:t>
      </w:r>
    </w:p>
    <w:p w14:paraId="0B3D391A" w14:textId="77777777" w:rsidR="00691328" w:rsidRPr="003C015F" w:rsidRDefault="00691328" w:rsidP="003D4947">
      <w:pPr>
        <w:pStyle w:val="CGPC-elearning"/>
      </w:pPr>
      <w:r w:rsidRPr="003C015F">
        <w:t>La Convention de La Haye de 1961 prévoit en son article 1er qu’un testament est valable, en sa forme, si celle-ci répond à la loi interne :</w:t>
      </w:r>
    </w:p>
    <w:p w14:paraId="46C44CCC" w14:textId="2A1C4097" w:rsidR="00691328" w:rsidRPr="003C015F" w:rsidRDefault="003C015F" w:rsidP="003D4947">
      <w:pPr>
        <w:pStyle w:val="CGPC-elearning"/>
      </w:pPr>
      <w:r w:rsidRPr="003C015F">
        <w:t xml:space="preserve">- </w:t>
      </w:r>
      <w:r w:rsidR="00691328" w:rsidRPr="003C015F">
        <w:t>du lieu où le testateur a disposé ;</w:t>
      </w:r>
    </w:p>
    <w:p w14:paraId="73C30A58" w14:textId="7451DB37" w:rsidR="00691328" w:rsidRPr="003C015F" w:rsidRDefault="003C015F" w:rsidP="003D4947">
      <w:pPr>
        <w:pStyle w:val="CGPC-elearning"/>
      </w:pPr>
      <w:r w:rsidRPr="003C015F">
        <w:t xml:space="preserve">- </w:t>
      </w:r>
      <w:r w:rsidR="00691328" w:rsidRPr="003C015F">
        <w:t>ou d’une nationalité possédée par le testateur, soit au moment où il a disposé</w:t>
      </w:r>
      <w:r w:rsidRPr="003C015F">
        <w:t>,</w:t>
      </w:r>
      <w:r w:rsidR="00691328" w:rsidRPr="003C015F">
        <w:t xml:space="preserve"> soit au moment de son décès ;</w:t>
      </w:r>
    </w:p>
    <w:p w14:paraId="1C70C2D0" w14:textId="06128463" w:rsidR="00691328" w:rsidRPr="003C015F" w:rsidRDefault="003C015F" w:rsidP="003D4947">
      <w:pPr>
        <w:pStyle w:val="CGPC-elearning"/>
      </w:pPr>
      <w:r w:rsidRPr="003C015F">
        <w:t xml:space="preserve">- </w:t>
      </w:r>
      <w:r w:rsidR="00691328" w:rsidRPr="003C015F">
        <w:t>ou du lieu dans lequel le testateur avait sa résidence habituelle soit au moment où il a disposé soit au moment de son décès ;</w:t>
      </w:r>
    </w:p>
    <w:p w14:paraId="2CEE6E52" w14:textId="0F6D7A72" w:rsidR="00691328" w:rsidRPr="003C015F" w:rsidRDefault="003C015F" w:rsidP="003D4947">
      <w:pPr>
        <w:pStyle w:val="CGPC-elearning"/>
      </w:pPr>
      <w:r w:rsidRPr="003C015F">
        <w:t>-</w:t>
      </w:r>
      <w:r w:rsidR="00691328" w:rsidRPr="003C015F">
        <w:t>ou du lieu de situation des immeubles.</w:t>
      </w:r>
    </w:p>
    <w:p w14:paraId="520B0193" w14:textId="77777777" w:rsidR="00691328" w:rsidRPr="003C015F" w:rsidRDefault="00691328" w:rsidP="003D4947">
      <w:pPr>
        <w:pStyle w:val="CGPC-elearning"/>
      </w:pPr>
      <w:r w:rsidRPr="003C015F">
        <w:t>Compte tenu de ces règles, un testament fait par deux personnes se léguant réciproquement des biens (testament dit « conjonctif »), normalement interdit en France, pourra être appliqué en France si ce testament a été rédigé dans un pays qui admet cette forme de testament et que l’un des critères ci-dessus est rempli.</w:t>
      </w:r>
    </w:p>
    <w:p w14:paraId="0B4850AD" w14:textId="6457FE20" w:rsidR="00691328" w:rsidRPr="003C015F" w:rsidRDefault="00691328" w:rsidP="003D4947">
      <w:pPr>
        <w:pStyle w:val="CGPC-elearning"/>
      </w:pPr>
      <w:r w:rsidRPr="003C015F">
        <w:rPr>
          <w:noProof/>
          <w:lang w:eastAsia="fr-FR"/>
        </w:rPr>
        <w:drawing>
          <wp:inline distT="0" distB="0" distL="0" distR="0" wp14:anchorId="713E5944" wp14:editId="7FAE7F56">
            <wp:extent cx="201930" cy="201930"/>
            <wp:effectExtent l="0" t="0" r="7620" b="7620"/>
            <wp:docPr id="2018409527"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3C015F">
        <w:t> </w:t>
      </w:r>
      <w:r w:rsidRPr="003C015F">
        <w:rPr>
          <w:rStyle w:val="lev"/>
          <w:b w:val="0"/>
          <w:bCs/>
          <w:color w:val="auto"/>
        </w:rPr>
        <w:t>Attention :</w:t>
      </w:r>
      <w:r w:rsidRPr="003C015F">
        <w:rPr>
          <w:rStyle w:val="Accentuation"/>
          <w:i w:val="0"/>
          <w:iCs w:val="0"/>
          <w:color w:val="auto"/>
        </w:rPr>
        <w:t> la donation au dernier vivant, si elle est courante en France, est parfois méconnue voire interdite dans certains pays. Aussi, pour éviter que cette donation au dernier vivant soit déclarée inapplicable à l’étranger, il est recommandé de recourir à deux testaments, un pour chaque époux. C’est notamment le cas pour des personnes de nationalité portugaise.</w:t>
      </w:r>
    </w:p>
    <w:p w14:paraId="704BC261" w14:textId="77777777" w:rsidR="00691328" w:rsidRDefault="00691328" w:rsidP="005C5367">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2E4A0E15" w14:textId="77777777" w:rsidR="00502907" w:rsidRDefault="00502907">
      <w:pPr>
        <w:jc w:val="left"/>
      </w:pPr>
      <w:r>
        <w:br w:type="page"/>
      </w:r>
    </w:p>
    <w:p w14:paraId="44EA7DC9" w14:textId="1D34C7A1" w:rsidR="00502907" w:rsidRDefault="00502907" w:rsidP="00502907">
      <w:r>
        <w:rPr>
          <w:noProof/>
          <w14:ligatures w14:val="standardContextual"/>
        </w:rPr>
        <w:lastRenderedPageBreak/>
        <mc:AlternateContent>
          <mc:Choice Requires="wps">
            <w:drawing>
              <wp:anchor distT="0" distB="0" distL="114300" distR="114300" simplePos="0" relativeHeight="251657216" behindDoc="1" locked="0" layoutInCell="1" allowOverlap="1" wp14:anchorId="0CDB2902" wp14:editId="33316DA6">
                <wp:simplePos x="0" y="0"/>
                <wp:positionH relativeFrom="column">
                  <wp:posOffset>-895350</wp:posOffset>
                </wp:positionH>
                <wp:positionV relativeFrom="paragraph">
                  <wp:posOffset>-914400</wp:posOffset>
                </wp:positionV>
                <wp:extent cx="15697200" cy="10725150"/>
                <wp:effectExtent l="0" t="0" r="19050" b="19050"/>
                <wp:wrapNone/>
                <wp:docPr id="896483136" name="Rectangle 5"/>
                <wp:cNvGraphicFramePr/>
                <a:graphic xmlns:a="http://schemas.openxmlformats.org/drawingml/2006/main">
                  <a:graphicData uri="http://schemas.microsoft.com/office/word/2010/wordprocessingShape">
                    <wps:wsp>
                      <wps:cNvSpPr/>
                      <wps:spPr>
                        <a:xfrm>
                          <a:off x="0" y="0"/>
                          <a:ext cx="15697200" cy="107251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E6A1EF" id="Rectangle 5" o:spid="_x0000_s1026" style="position:absolute;margin-left:-70.5pt;margin-top:-1in;width:1236pt;height:84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" fillcolor="#4472c4 [3204]" strokecolor="#09101d [484]" strokeweight="1pt"/>
            </w:pict>
          </mc:Fallback>
        </mc:AlternateContent>
      </w:r>
    </w:p>
    <w:p w14:paraId="574CCE9C" w14:textId="77777777" w:rsidR="00502907" w:rsidRDefault="00502907" w:rsidP="00502907"/>
    <w:p w14:paraId="4D039853" w14:textId="77777777" w:rsidR="00502907" w:rsidRDefault="00502907" w:rsidP="00502907"/>
    <w:p w14:paraId="3D1FE97A" w14:textId="77777777" w:rsidR="00502907" w:rsidRDefault="00502907" w:rsidP="00502907"/>
    <w:p w14:paraId="79673738" w14:textId="77777777" w:rsidR="00502907" w:rsidRDefault="00502907" w:rsidP="00502907"/>
    <w:p w14:paraId="29E937B3" w14:textId="77777777" w:rsidR="00502907" w:rsidRDefault="00502907" w:rsidP="00502907"/>
    <w:p w14:paraId="77CBC45D" w14:textId="77777777" w:rsidR="00502907" w:rsidRDefault="00502907" w:rsidP="00502907"/>
    <w:p w14:paraId="2EBBEBEF" w14:textId="77777777" w:rsidR="00502907" w:rsidRDefault="00502907" w:rsidP="00502907"/>
    <w:p w14:paraId="75B64BF9" w14:textId="77777777" w:rsidR="00502907" w:rsidRDefault="00502907" w:rsidP="00502907"/>
    <w:p w14:paraId="256CF2A9" w14:textId="7A56F9B3" w:rsidR="00502907" w:rsidRPr="00502907" w:rsidRDefault="00691328" w:rsidP="00502907">
      <w:pPr>
        <w:pStyle w:val="Titre2"/>
      </w:pPr>
      <w:bookmarkStart w:id="3" w:name="_Toc186729678"/>
      <w:r w:rsidRPr="00502907">
        <w:t>L’utilisation des conventions fiscales</w:t>
      </w:r>
      <w:bookmarkEnd w:id="3"/>
    </w:p>
    <w:p w14:paraId="56F39888" w14:textId="77777777" w:rsidR="00502907" w:rsidRDefault="00502907" w:rsidP="00502907">
      <w:pPr>
        <w:pStyle w:val="CGPC-elearning"/>
        <w:rPr>
          <w:rFonts w:eastAsiaTheme="majorEastAsia"/>
          <w:color w:val="3A5D9C"/>
          <w:sz w:val="44"/>
          <w:szCs w:val="26"/>
        </w:rPr>
      </w:pPr>
      <w:r>
        <w:br w:type="page"/>
      </w:r>
    </w:p>
    <w:p w14:paraId="0D0ABC74" w14:textId="7FB598B6" w:rsidR="00502907" w:rsidRDefault="00691328" w:rsidP="00502907">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7FF3768B" wp14:editId="23E1F033">
            <wp:extent cx="12782550" cy="7187801"/>
            <wp:effectExtent l="533400" t="457200" r="800100" b="794385"/>
            <wp:docPr id="670076054"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824503" cy="721139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74B082AA" w14:textId="77777777" w:rsidR="00502907" w:rsidRDefault="00502907" w:rsidP="00502907">
      <w:pPr>
        <w:pStyle w:val="CGPC-elearning"/>
        <w:rPr>
          <w:rFonts w:eastAsia="Times New Roman"/>
          <w:lang w:eastAsia="fr-FR"/>
        </w:rPr>
      </w:pPr>
      <w:r>
        <w:br w:type="page"/>
      </w:r>
    </w:p>
    <w:p w14:paraId="5FA5F4C4" w14:textId="36D92CCB" w:rsidR="00691328" w:rsidRPr="003C015F" w:rsidRDefault="00691328" w:rsidP="003D4947">
      <w:pPr>
        <w:pStyle w:val="CGPC-elearning"/>
      </w:pPr>
      <w:r w:rsidRPr="003C015F">
        <w:lastRenderedPageBreak/>
        <w:t>Les conventions fiscales en vigueur visant à éviter une double imposition de droits de succession et de droits de donation sont les suivantes (plus nombreuses pour les successions que pour les donations).</w:t>
      </w:r>
    </w:p>
    <w:p w14:paraId="7CABE5F5" w14:textId="77777777" w:rsidR="00691328" w:rsidRPr="003C015F" w:rsidRDefault="00691328" w:rsidP="003D4947">
      <w:pPr>
        <w:pStyle w:val="CGPC-elearning"/>
      </w:pPr>
      <w:r w:rsidRPr="003C015F">
        <w:t>Des conventions visant à éviter la double imposition des droits de succession ont été signées par la France avec les pays suivants : Algérie, Allemagne, Arabie Saoudite, Autriche, Bahreïn, Belgique, Bénin, Burkina Faso, Cameroun, Comores et Mayotte, Congo, Côte d’Ivoire, Centrafrique, Emirats Arabes Unis, Espagne, Etats-Unis, Finlande, Gabon, Italie, Koweït, Liban, Mali, Mauritanie, Monaco, Niger, Nouvelle Calédonie, Oman, Qatar, Royaume Uni, Saint-Pierre-et-Miquelon, Sénégal, Suède, Suisse, Togo et Tunisie.</w:t>
      </w:r>
    </w:p>
    <w:p w14:paraId="69A1D147" w14:textId="3EF68CC9" w:rsidR="00691328" w:rsidRPr="003C015F" w:rsidRDefault="00691328" w:rsidP="003D4947">
      <w:pPr>
        <w:pStyle w:val="CGPC-elearning"/>
      </w:pPr>
      <w:r w:rsidRPr="003C015F">
        <w:t>Des conve</w:t>
      </w:r>
      <w:r w:rsidR="003C015F" w:rsidRPr="003C015F">
        <w:t>ntions relatives à la fiscalité</w:t>
      </w:r>
      <w:r w:rsidRPr="003C015F">
        <w:t xml:space="preserve"> des donations ont été signées par la France avec les pays suivants : Allemagne, Autriche, États-Unis, Guinée, Italie, Nouvelle-Calédonie, Saint-Pierre-et-Miquelon et Suède</w:t>
      </w:r>
    </w:p>
    <w:p w14:paraId="7FE67292" w14:textId="77777777" w:rsidR="00691328" w:rsidRPr="003C015F" w:rsidRDefault="00691328" w:rsidP="003D4947">
      <w:pPr>
        <w:pStyle w:val="CGPC-elearning"/>
      </w:pPr>
      <w:r w:rsidRPr="003C015F">
        <w:t>Elles sont souvent rédigée sur le modèle de la convention OCDE, avec des critères de résidences identiques à ceux relatifs à l’impôt sur le revenu (foyer d’habitation, centre des intérêts vitaux, lieux de séjour habituel et enfin nationalité). Mais il faut vérifier en fonction de la situation particulière du contribuable et des termes de la convention (qui ne suivent pas toujours le modèle OCDE).</w:t>
      </w:r>
    </w:p>
    <w:p w14:paraId="46C64CD1" w14:textId="77777777" w:rsidR="00691328" w:rsidRPr="003C015F" w:rsidRDefault="00691328" w:rsidP="003D4947">
      <w:pPr>
        <w:pStyle w:val="CGPC-elearning"/>
      </w:pPr>
      <w:r w:rsidRPr="003C015F">
        <w:t>Les règles OCDE sont les suivantes :</w:t>
      </w:r>
    </w:p>
    <w:p w14:paraId="407DB87B" w14:textId="1383E2E0" w:rsidR="00691328" w:rsidRPr="003C015F" w:rsidRDefault="003C015F" w:rsidP="003D4947">
      <w:pPr>
        <w:pStyle w:val="CGPC-elearning"/>
      </w:pPr>
      <w:r w:rsidRPr="003C015F">
        <w:t xml:space="preserve">- </w:t>
      </w:r>
      <w:r w:rsidR="00691328" w:rsidRPr="003C015F">
        <w:t>c’est l’État de résidence du défunt ou du donateur qui a exclusivement le droit d’imposer (sauf cas particuliers, sociétés à prépondérance immobilière et, selon les conventions, les biens immobiliers, imposés au lieu de situation) ;</w:t>
      </w:r>
    </w:p>
    <w:p w14:paraId="321B1642" w14:textId="401F2671" w:rsidR="00691328" w:rsidRPr="003D4947" w:rsidRDefault="003C015F" w:rsidP="003D4947">
      <w:pPr>
        <w:pStyle w:val="CGPC-elearning"/>
        <w:rPr>
          <w:color w:val="auto"/>
        </w:rPr>
      </w:pPr>
      <w:r w:rsidRPr="003D4947">
        <w:rPr>
          <w:color w:val="auto"/>
        </w:rPr>
        <w:t xml:space="preserve">- </w:t>
      </w:r>
      <w:r w:rsidR="00691328" w:rsidRPr="003D4947">
        <w:rPr>
          <w:color w:val="auto"/>
        </w:rPr>
        <w:t>certaines dettes sont déductibles (variable en fonction de la convention) ;</w:t>
      </w:r>
    </w:p>
    <w:p w14:paraId="5431B811" w14:textId="48E95B7C" w:rsidR="00691328" w:rsidRPr="003D4947" w:rsidRDefault="003C015F" w:rsidP="003D4947">
      <w:pPr>
        <w:pStyle w:val="CGPC-elearning"/>
        <w:rPr>
          <w:color w:val="auto"/>
        </w:rPr>
      </w:pPr>
      <w:r w:rsidRPr="003D4947">
        <w:rPr>
          <w:color w:val="auto"/>
        </w:rPr>
        <w:t xml:space="preserve">- </w:t>
      </w:r>
      <w:r w:rsidR="00691328" w:rsidRPr="003D4947">
        <w:rPr>
          <w:color w:val="auto"/>
        </w:rPr>
        <w:t>deux types d’élimination des doubles impositions sont prévues :</w:t>
      </w:r>
    </w:p>
    <w:p w14:paraId="2ECD1F04" w14:textId="77777777" w:rsidR="003D4947" w:rsidRPr="003D4947" w:rsidRDefault="003D4947" w:rsidP="003D4947">
      <w:pPr>
        <w:pStyle w:val="CGPC-elearning"/>
        <w:numPr>
          <w:ilvl w:val="0"/>
          <w:numId w:val="48"/>
        </w:numPr>
        <w:rPr>
          <w:color w:val="auto"/>
        </w:rPr>
      </w:pPr>
      <w:r w:rsidRPr="003D4947">
        <w:rPr>
          <w:color w:val="auto"/>
        </w:rPr>
        <w:t>L’</w:t>
      </w:r>
      <w:r w:rsidR="00691328" w:rsidRPr="003D4947">
        <w:rPr>
          <w:color w:val="auto"/>
        </w:rPr>
        <w:t>exonération,</w:t>
      </w:r>
    </w:p>
    <w:p w14:paraId="54B8A270" w14:textId="283E8518" w:rsidR="00691328" w:rsidRPr="003D4947" w:rsidRDefault="003D4947" w:rsidP="003D4947">
      <w:pPr>
        <w:pStyle w:val="CGPC-elearning"/>
        <w:numPr>
          <w:ilvl w:val="0"/>
          <w:numId w:val="48"/>
        </w:numPr>
        <w:rPr>
          <w:color w:val="auto"/>
        </w:rPr>
      </w:pPr>
      <w:r w:rsidRPr="003D4947">
        <w:rPr>
          <w:color w:val="auto"/>
        </w:rPr>
        <w:t>L’</w:t>
      </w:r>
      <w:r w:rsidR="00691328" w:rsidRPr="003D4947">
        <w:rPr>
          <w:color w:val="auto"/>
        </w:rPr>
        <w:t>imputation de l’impôt déjà payé sur l’impôt à payer.</w:t>
      </w:r>
    </w:p>
    <w:p w14:paraId="1AFF9995" w14:textId="77777777" w:rsidR="00691328" w:rsidRPr="008464C4" w:rsidRDefault="00691328" w:rsidP="003D4947">
      <w:pPr>
        <w:pStyle w:val="CGPC-elearning"/>
      </w:pPr>
    </w:p>
    <w:p w14:paraId="5DD4A932" w14:textId="6B57EFFB" w:rsidR="00C12BC9" w:rsidRPr="00691328" w:rsidRDefault="00C12BC9" w:rsidP="005C5367">
      <w:pPr>
        <w:jc w:val="left"/>
      </w:pPr>
    </w:p>
    <w:sectPr w:rsidR="00C12BC9" w:rsidRPr="00691328" w:rsidSect="0084634C">
      <w:headerReference w:type="default" r:id="rId14"/>
      <w:footerReference w:type="default" r:id="rId15"/>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0EAFC2" w14:textId="77777777" w:rsidR="00633F00" w:rsidRDefault="00633F00" w:rsidP="002020F9">
      <w:pPr>
        <w:spacing w:after="0" w:line="240" w:lineRule="auto"/>
      </w:pPr>
      <w:r>
        <w:separator/>
      </w:r>
    </w:p>
  </w:endnote>
  <w:endnote w:type="continuationSeparator" w:id="0">
    <w:p w14:paraId="76C0077C" w14:textId="77777777" w:rsidR="00633F00" w:rsidRDefault="00633F00"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1" w:fontKey="{02B1451D-91C2-45F5-B116-9822A3CDB075}"/>
    <w:embedBold r:id="rId2" w:fontKey="{DFD140DF-4C50-4507-851F-A520D63B9B52}"/>
    <w:embedItalic r:id="rId3" w:fontKey="{C8783CCD-E8D4-46E0-BF8A-637804725A29}"/>
    <w:embedBoldItalic r:id="rId4" w:fontKey="{C53F7A28-C3F4-40B2-AC9F-695DC5A0526F}"/>
  </w:font>
  <w:font w:name="Calibri">
    <w:panose1 w:val="020F0502020204030204"/>
    <w:charset w:val="00"/>
    <w:family w:val="swiss"/>
    <w:pitch w:val="variable"/>
    <w:sig w:usb0="E4002EFF" w:usb1="C200247B" w:usb2="00000009" w:usb3="00000000" w:csb0="000001FF" w:csb1="00000000"/>
    <w:embedRegular r:id="rId5" w:fontKey="{17A654DD-64FE-43A2-ACE1-026F0BBEB4F6}"/>
    <w:embedBold r:id="rId6" w:fontKey="{A9C131C1-5DC8-43F0-8F55-A8CE2F126715}"/>
    <w:embedItalic r:id="rId7" w:fontKey="{B9BA2552-2646-4E6C-911D-17CC54AD2053}"/>
    <w:embedBoldItalic r:id="rId8" w:fontKey="{0DEC31C4-FD54-4E58-843F-869F920D461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D227A4E4-B175-4038-A88B-1F66446AE7F6}"/>
    <w:embedBold r:id="rId10" w:fontKey="{CFC58AB5-8770-4C08-8CDF-34B8F572CF8C}"/>
  </w:font>
  <w:font w:name="Tahoma">
    <w:panose1 w:val="020B0604030504040204"/>
    <w:charset w:val="00"/>
    <w:family w:val="swiss"/>
    <w:pitch w:val="variable"/>
    <w:sig w:usb0="E1002EFF" w:usb1="C000605B" w:usb2="00000029" w:usb3="00000000" w:csb0="000101FF" w:csb1="00000000"/>
    <w:embedRegular r:id="rId11" w:fontKey="{E40B2987-FCBC-44ED-804C-11ADA2CF04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A1837" w14:textId="2164FDB4" w:rsidR="00C06563" w:rsidRDefault="00502907">
    <w:pPr>
      <w:pStyle w:val="Pieddepage"/>
    </w:pPr>
    <w:r>
      <w:fldChar w:fldCharType="begin"/>
    </w:r>
    <w:r>
      <w:instrText>PAGE   \* MERGEFORMAT</w:instrText>
    </w:r>
    <w:r>
      <w:fldChar w:fldCharType="separate"/>
    </w:r>
    <w:r>
      <w:t>1</w:t>
    </w:r>
    <w:r>
      <w:fldChar w:fldCharType="end"/>
    </w:r>
    <w:r>
      <w:t xml:space="preserve"> </w:t>
    </w:r>
    <w:r w:rsidRPr="00502907">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0C057" w14:textId="77777777" w:rsidR="00633F00" w:rsidRDefault="00633F00" w:rsidP="002020F9">
      <w:pPr>
        <w:spacing w:after="0" w:line="240" w:lineRule="auto"/>
      </w:pPr>
      <w:r>
        <w:separator/>
      </w:r>
    </w:p>
  </w:footnote>
  <w:footnote w:type="continuationSeparator" w:id="0">
    <w:p w14:paraId="6696B972" w14:textId="77777777" w:rsidR="00633F00" w:rsidRDefault="00633F00"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8B4F1" w14:textId="3E47F358" w:rsidR="00C06563" w:rsidRDefault="00502907">
    <w:pPr>
      <w:pStyle w:val="En-tte"/>
    </w:pPr>
    <w:r>
      <w:rPr>
        <w:noProof/>
      </w:rPr>
      <mc:AlternateContent>
        <mc:Choice Requires="wps">
          <w:drawing>
            <wp:anchor distT="0" distB="0" distL="118745" distR="118745" simplePos="0" relativeHeight="251659264" behindDoc="1" locked="0" layoutInCell="1" allowOverlap="0" wp14:anchorId="694F3AC7" wp14:editId="1F8ECCE5">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3243F85" w14:textId="71D5E1C0" w:rsidR="00502907" w:rsidRDefault="00502907">
                              <w:pPr>
                                <w:pStyle w:val="En-tte"/>
                                <w:jc w:val="center"/>
                                <w:rPr>
                                  <w:caps/>
                                  <w:color w:val="FFFFFF" w:themeColor="background1"/>
                                </w:rPr>
                              </w:pPr>
                              <w:r>
                                <w:rPr>
                                  <w:caps/>
                                  <w:color w:val="FFFFFF" w:themeColor="background1"/>
                                </w:rPr>
                                <w:t>Chapitre 6 : De la gestion des successions et libéralités transfrontalières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694F3AC7"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33243F85" w14:textId="71D5E1C0" w:rsidR="00502907" w:rsidRDefault="00502907">
                        <w:pPr>
                          <w:pStyle w:val="En-tte"/>
                          <w:jc w:val="center"/>
                          <w:rPr>
                            <w:caps/>
                            <w:color w:val="FFFFFF" w:themeColor="background1"/>
                          </w:rPr>
                        </w:pPr>
                        <w:r>
                          <w:rPr>
                            <w:caps/>
                            <w:color w:val="FFFFFF" w:themeColor="background1"/>
                          </w:rPr>
                          <w:t>Chapitre 6 : De la gestion des successions et libéralités transfrontalières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66944"/>
    <w:multiLevelType w:val="multilevel"/>
    <w:tmpl w:val="4C48F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457D82"/>
    <w:multiLevelType w:val="multilevel"/>
    <w:tmpl w:val="8B2A3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EB383C"/>
    <w:multiLevelType w:val="multilevel"/>
    <w:tmpl w:val="16E25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FE058E"/>
    <w:multiLevelType w:val="hybridMultilevel"/>
    <w:tmpl w:val="53F07086"/>
    <w:lvl w:ilvl="0" w:tplc="EB00ED40">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6D12D0"/>
    <w:multiLevelType w:val="multilevel"/>
    <w:tmpl w:val="F5127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39D224D"/>
    <w:multiLevelType w:val="hybridMultilevel"/>
    <w:tmpl w:val="3EF0F55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C5F0E2C"/>
    <w:multiLevelType w:val="multilevel"/>
    <w:tmpl w:val="9C08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B955B1"/>
    <w:multiLevelType w:val="hybridMultilevel"/>
    <w:tmpl w:val="233C0AE6"/>
    <w:lvl w:ilvl="0" w:tplc="6FD254D0">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8"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C5444D"/>
    <w:multiLevelType w:val="multilevel"/>
    <w:tmpl w:val="0CB0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723C47"/>
    <w:multiLevelType w:val="multilevel"/>
    <w:tmpl w:val="40962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CA9608D"/>
    <w:multiLevelType w:val="multilevel"/>
    <w:tmpl w:val="A06E2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E1155F"/>
    <w:multiLevelType w:val="multilevel"/>
    <w:tmpl w:val="28FCC9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2754399"/>
    <w:multiLevelType w:val="multilevel"/>
    <w:tmpl w:val="253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4314407"/>
    <w:multiLevelType w:val="multilevel"/>
    <w:tmpl w:val="E52A0C3A"/>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6" w15:restartNumberingAfterBreak="0">
    <w:nsid w:val="4B414882"/>
    <w:multiLevelType w:val="multilevel"/>
    <w:tmpl w:val="B032F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D747A22"/>
    <w:multiLevelType w:val="hybridMultilevel"/>
    <w:tmpl w:val="44F6F666"/>
    <w:lvl w:ilvl="0" w:tplc="44142C02">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5DCC28DD"/>
    <w:multiLevelType w:val="multilevel"/>
    <w:tmpl w:val="D3621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DE268A4"/>
    <w:multiLevelType w:val="multilevel"/>
    <w:tmpl w:val="5A56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0376F66"/>
    <w:multiLevelType w:val="hybridMultilevel"/>
    <w:tmpl w:val="D8E6A878"/>
    <w:lvl w:ilvl="0" w:tplc="E64C90B2">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1AF4382"/>
    <w:multiLevelType w:val="hybridMultilevel"/>
    <w:tmpl w:val="0F826DFC"/>
    <w:lvl w:ilvl="0" w:tplc="BFD60406">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63A27E05"/>
    <w:multiLevelType w:val="multilevel"/>
    <w:tmpl w:val="B698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888691A"/>
    <w:multiLevelType w:val="multilevel"/>
    <w:tmpl w:val="8D06B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F990344"/>
    <w:multiLevelType w:val="multilevel"/>
    <w:tmpl w:val="0740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27956AE"/>
    <w:multiLevelType w:val="multilevel"/>
    <w:tmpl w:val="3C8A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734E53FC"/>
    <w:multiLevelType w:val="multilevel"/>
    <w:tmpl w:val="5AF00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9700DAB"/>
    <w:multiLevelType w:val="multilevel"/>
    <w:tmpl w:val="F8928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E3F0D9E"/>
    <w:multiLevelType w:val="multilevel"/>
    <w:tmpl w:val="190C5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410154797">
    <w:abstractNumId w:val="15"/>
  </w:num>
  <w:num w:numId="2" w16cid:durableId="315186560">
    <w:abstractNumId w:val="8"/>
  </w:num>
  <w:num w:numId="3" w16cid:durableId="1164466228">
    <w:abstractNumId w:val="20"/>
  </w:num>
  <w:num w:numId="4" w16cid:durableId="2046563789">
    <w:abstractNumId w:val="7"/>
  </w:num>
  <w:num w:numId="5" w16cid:durableId="767192793">
    <w:abstractNumId w:val="12"/>
  </w:num>
  <w:num w:numId="6" w16cid:durableId="1669673151">
    <w:abstractNumId w:val="7"/>
    <w:lvlOverride w:ilvl="0">
      <w:startOverride w:val="1"/>
    </w:lvlOverride>
  </w:num>
  <w:num w:numId="7" w16cid:durableId="1850025970">
    <w:abstractNumId w:val="20"/>
    <w:lvlOverride w:ilvl="0">
      <w:startOverride w:val="1"/>
    </w:lvlOverride>
  </w:num>
  <w:num w:numId="8" w16cid:durableId="553273777">
    <w:abstractNumId w:val="26"/>
  </w:num>
  <w:num w:numId="9" w16cid:durableId="763501278">
    <w:abstractNumId w:val="20"/>
    <w:lvlOverride w:ilvl="0">
      <w:startOverride w:val="1"/>
    </w:lvlOverride>
  </w:num>
  <w:num w:numId="10" w16cid:durableId="144204128">
    <w:abstractNumId w:val="30"/>
    <w:lvlOverride w:ilvl="0">
      <w:startOverride w:val="1"/>
    </w:lvlOverride>
  </w:num>
  <w:num w:numId="11" w16cid:durableId="684285903">
    <w:abstractNumId w:val="20"/>
    <w:lvlOverride w:ilvl="0">
      <w:startOverride w:val="1"/>
    </w:lvlOverride>
  </w:num>
  <w:num w:numId="12" w16cid:durableId="1684014024">
    <w:abstractNumId w:val="30"/>
    <w:lvlOverride w:ilvl="0">
      <w:startOverride w:val="1"/>
    </w:lvlOverride>
  </w:num>
  <w:num w:numId="13" w16cid:durableId="463042111">
    <w:abstractNumId w:val="21"/>
  </w:num>
  <w:num w:numId="14" w16cid:durableId="1256866745">
    <w:abstractNumId w:val="21"/>
    <w:lvlOverride w:ilvl="0">
      <w:startOverride w:val="1"/>
    </w:lvlOverride>
  </w:num>
  <w:num w:numId="15" w16cid:durableId="1598902641">
    <w:abstractNumId w:val="21"/>
    <w:lvlOverride w:ilvl="0">
      <w:startOverride w:val="1"/>
    </w:lvlOverride>
  </w:num>
  <w:num w:numId="16" w16cid:durableId="735515523">
    <w:abstractNumId w:val="20"/>
    <w:lvlOverride w:ilvl="0">
      <w:startOverride w:val="1"/>
    </w:lvlOverride>
  </w:num>
  <w:num w:numId="17" w16cid:durableId="609823396">
    <w:abstractNumId w:val="6"/>
  </w:num>
  <w:num w:numId="18" w16cid:durableId="1690834511">
    <w:abstractNumId w:val="14"/>
  </w:num>
  <w:num w:numId="19" w16cid:durableId="17854403">
    <w:abstractNumId w:val="18"/>
  </w:num>
  <w:num w:numId="20" w16cid:durableId="146750794">
    <w:abstractNumId w:val="16"/>
  </w:num>
  <w:num w:numId="21" w16cid:durableId="628704707">
    <w:abstractNumId w:val="19"/>
  </w:num>
  <w:num w:numId="22" w16cid:durableId="1528445330">
    <w:abstractNumId w:val="22"/>
  </w:num>
  <w:num w:numId="23" w16cid:durableId="176971900">
    <w:abstractNumId w:val="11"/>
  </w:num>
  <w:num w:numId="24" w16cid:durableId="1015040203">
    <w:abstractNumId w:val="27"/>
  </w:num>
  <w:num w:numId="25" w16cid:durableId="776412509">
    <w:abstractNumId w:val="9"/>
  </w:num>
  <w:num w:numId="26" w16cid:durableId="1718703912">
    <w:abstractNumId w:val="24"/>
  </w:num>
  <w:num w:numId="27" w16cid:durableId="1672833437">
    <w:abstractNumId w:val="29"/>
  </w:num>
  <w:num w:numId="28" w16cid:durableId="1394619762">
    <w:abstractNumId w:val="28"/>
  </w:num>
  <w:num w:numId="29" w16cid:durableId="502283214">
    <w:abstractNumId w:val="4"/>
  </w:num>
  <w:num w:numId="30" w16cid:durableId="22752513">
    <w:abstractNumId w:val="2"/>
  </w:num>
  <w:num w:numId="31" w16cid:durableId="1000542899">
    <w:abstractNumId w:val="17"/>
  </w:num>
  <w:num w:numId="32" w16cid:durableId="2115438513">
    <w:abstractNumId w:val="17"/>
    <w:lvlOverride w:ilvl="0">
      <w:startOverride w:val="1"/>
    </w:lvlOverride>
  </w:num>
  <w:num w:numId="33" w16cid:durableId="1825272184">
    <w:abstractNumId w:val="17"/>
    <w:lvlOverride w:ilvl="0">
      <w:startOverride w:val="1"/>
    </w:lvlOverride>
  </w:num>
  <w:num w:numId="34" w16cid:durableId="1460033978">
    <w:abstractNumId w:val="17"/>
    <w:lvlOverride w:ilvl="0">
      <w:startOverride w:val="1"/>
    </w:lvlOverride>
  </w:num>
  <w:num w:numId="35" w16cid:durableId="1904175592">
    <w:abstractNumId w:val="17"/>
    <w:lvlOverride w:ilvl="0">
      <w:startOverride w:val="1"/>
    </w:lvlOverride>
  </w:num>
  <w:num w:numId="36" w16cid:durableId="1406688582">
    <w:abstractNumId w:val="17"/>
    <w:lvlOverride w:ilvl="0">
      <w:startOverride w:val="1"/>
    </w:lvlOverride>
  </w:num>
  <w:num w:numId="37" w16cid:durableId="844511488">
    <w:abstractNumId w:val="7"/>
    <w:lvlOverride w:ilvl="0">
      <w:startOverride w:val="1"/>
    </w:lvlOverride>
  </w:num>
  <w:num w:numId="38" w16cid:durableId="125895237">
    <w:abstractNumId w:val="17"/>
    <w:lvlOverride w:ilvl="0">
      <w:startOverride w:val="1"/>
    </w:lvlOverride>
  </w:num>
  <w:num w:numId="39" w16cid:durableId="1254242230">
    <w:abstractNumId w:val="21"/>
    <w:lvlOverride w:ilvl="0">
      <w:startOverride w:val="1"/>
    </w:lvlOverride>
  </w:num>
  <w:num w:numId="40" w16cid:durableId="2011173564">
    <w:abstractNumId w:val="7"/>
    <w:lvlOverride w:ilvl="0">
      <w:startOverride w:val="1"/>
    </w:lvlOverride>
  </w:num>
  <w:num w:numId="41" w16cid:durableId="1426805123">
    <w:abstractNumId w:val="25"/>
  </w:num>
  <w:num w:numId="42" w16cid:durableId="1903632753">
    <w:abstractNumId w:val="23"/>
  </w:num>
  <w:num w:numId="43" w16cid:durableId="1602686641">
    <w:abstractNumId w:val="10"/>
  </w:num>
  <w:num w:numId="44" w16cid:durableId="1667586358">
    <w:abstractNumId w:val="0"/>
  </w:num>
  <w:num w:numId="45" w16cid:durableId="1914116505">
    <w:abstractNumId w:val="1"/>
  </w:num>
  <w:num w:numId="46" w16cid:durableId="8257794">
    <w:abstractNumId w:val="13"/>
  </w:num>
  <w:num w:numId="47" w16cid:durableId="822966448">
    <w:abstractNumId w:val="3"/>
  </w:num>
  <w:num w:numId="48" w16cid:durableId="47063768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1567E"/>
    <w:rsid w:val="00026686"/>
    <w:rsid w:val="00074CCE"/>
    <w:rsid w:val="00075E24"/>
    <w:rsid w:val="00081F20"/>
    <w:rsid w:val="000A60F2"/>
    <w:rsid w:val="000C2B3F"/>
    <w:rsid w:val="000C5F54"/>
    <w:rsid w:val="000E29C1"/>
    <w:rsid w:val="001238EF"/>
    <w:rsid w:val="00150EFE"/>
    <w:rsid w:val="001525E5"/>
    <w:rsid w:val="001628E5"/>
    <w:rsid w:val="001915DB"/>
    <w:rsid w:val="00197C2B"/>
    <w:rsid w:val="001E58CB"/>
    <w:rsid w:val="00200B59"/>
    <w:rsid w:val="002020F9"/>
    <w:rsid w:val="0022015E"/>
    <w:rsid w:val="00224F0D"/>
    <w:rsid w:val="00233D58"/>
    <w:rsid w:val="002352E6"/>
    <w:rsid w:val="00246401"/>
    <w:rsid w:val="002863E1"/>
    <w:rsid w:val="002E04A2"/>
    <w:rsid w:val="002E7C98"/>
    <w:rsid w:val="00302A8F"/>
    <w:rsid w:val="0030508E"/>
    <w:rsid w:val="003054E0"/>
    <w:rsid w:val="00326184"/>
    <w:rsid w:val="00356475"/>
    <w:rsid w:val="003576C1"/>
    <w:rsid w:val="0036727B"/>
    <w:rsid w:val="003754E8"/>
    <w:rsid w:val="00387DA8"/>
    <w:rsid w:val="00395D9F"/>
    <w:rsid w:val="003C015F"/>
    <w:rsid w:val="003D2EB1"/>
    <w:rsid w:val="003D4947"/>
    <w:rsid w:val="003D57D5"/>
    <w:rsid w:val="00415D2C"/>
    <w:rsid w:val="00433B3B"/>
    <w:rsid w:val="004C5E68"/>
    <w:rsid w:val="004F7075"/>
    <w:rsid w:val="00502907"/>
    <w:rsid w:val="005256F7"/>
    <w:rsid w:val="00551470"/>
    <w:rsid w:val="00552D7D"/>
    <w:rsid w:val="0056165E"/>
    <w:rsid w:val="00563C2E"/>
    <w:rsid w:val="00566450"/>
    <w:rsid w:val="00566BDA"/>
    <w:rsid w:val="0058472E"/>
    <w:rsid w:val="00593DBA"/>
    <w:rsid w:val="005941FD"/>
    <w:rsid w:val="005A1882"/>
    <w:rsid w:val="005C5367"/>
    <w:rsid w:val="005E41CC"/>
    <w:rsid w:val="005F0983"/>
    <w:rsid w:val="005F0B22"/>
    <w:rsid w:val="00605F62"/>
    <w:rsid w:val="00624CAE"/>
    <w:rsid w:val="0062781F"/>
    <w:rsid w:val="006325C6"/>
    <w:rsid w:val="00633F00"/>
    <w:rsid w:val="00643528"/>
    <w:rsid w:val="00645749"/>
    <w:rsid w:val="00677448"/>
    <w:rsid w:val="00685544"/>
    <w:rsid w:val="00691328"/>
    <w:rsid w:val="006919EF"/>
    <w:rsid w:val="006C2651"/>
    <w:rsid w:val="006E2203"/>
    <w:rsid w:val="006F6ED7"/>
    <w:rsid w:val="00755BE3"/>
    <w:rsid w:val="00760439"/>
    <w:rsid w:val="00780465"/>
    <w:rsid w:val="007A379E"/>
    <w:rsid w:val="007C07A3"/>
    <w:rsid w:val="007F2091"/>
    <w:rsid w:val="008112FC"/>
    <w:rsid w:val="00826CAE"/>
    <w:rsid w:val="00834AAF"/>
    <w:rsid w:val="00842479"/>
    <w:rsid w:val="0084634C"/>
    <w:rsid w:val="008464C4"/>
    <w:rsid w:val="0088467E"/>
    <w:rsid w:val="0089646E"/>
    <w:rsid w:val="008A52B4"/>
    <w:rsid w:val="008D1431"/>
    <w:rsid w:val="008D272E"/>
    <w:rsid w:val="008E5D4A"/>
    <w:rsid w:val="008E6990"/>
    <w:rsid w:val="00910D5B"/>
    <w:rsid w:val="00913774"/>
    <w:rsid w:val="00914804"/>
    <w:rsid w:val="00937625"/>
    <w:rsid w:val="0097291A"/>
    <w:rsid w:val="00984F19"/>
    <w:rsid w:val="009A61A2"/>
    <w:rsid w:val="009F5FD7"/>
    <w:rsid w:val="00A13493"/>
    <w:rsid w:val="00A7577F"/>
    <w:rsid w:val="00A87FD6"/>
    <w:rsid w:val="00AA6E58"/>
    <w:rsid w:val="00AB5284"/>
    <w:rsid w:val="00AC3233"/>
    <w:rsid w:val="00AC4FFD"/>
    <w:rsid w:val="00AC5482"/>
    <w:rsid w:val="00AE3DF2"/>
    <w:rsid w:val="00B0501B"/>
    <w:rsid w:val="00B10DE0"/>
    <w:rsid w:val="00B13B22"/>
    <w:rsid w:val="00B220E3"/>
    <w:rsid w:val="00B25AB9"/>
    <w:rsid w:val="00B34910"/>
    <w:rsid w:val="00B42117"/>
    <w:rsid w:val="00B5286C"/>
    <w:rsid w:val="00B52C2E"/>
    <w:rsid w:val="00B630C8"/>
    <w:rsid w:val="00B65A39"/>
    <w:rsid w:val="00B75B22"/>
    <w:rsid w:val="00B8067C"/>
    <w:rsid w:val="00B81391"/>
    <w:rsid w:val="00BA1531"/>
    <w:rsid w:val="00BA4A7A"/>
    <w:rsid w:val="00BC0441"/>
    <w:rsid w:val="00BF4DAF"/>
    <w:rsid w:val="00BF7C89"/>
    <w:rsid w:val="00C06563"/>
    <w:rsid w:val="00C10135"/>
    <w:rsid w:val="00C12BC9"/>
    <w:rsid w:val="00C17D12"/>
    <w:rsid w:val="00C44C02"/>
    <w:rsid w:val="00C83889"/>
    <w:rsid w:val="00C86C18"/>
    <w:rsid w:val="00CC5221"/>
    <w:rsid w:val="00CD36D8"/>
    <w:rsid w:val="00CE73AE"/>
    <w:rsid w:val="00D20501"/>
    <w:rsid w:val="00D30A3F"/>
    <w:rsid w:val="00D40C02"/>
    <w:rsid w:val="00D47B70"/>
    <w:rsid w:val="00D5574B"/>
    <w:rsid w:val="00D7312E"/>
    <w:rsid w:val="00D812F3"/>
    <w:rsid w:val="00DE3098"/>
    <w:rsid w:val="00DF0886"/>
    <w:rsid w:val="00E1657E"/>
    <w:rsid w:val="00E23FCD"/>
    <w:rsid w:val="00E516BF"/>
    <w:rsid w:val="00E539C0"/>
    <w:rsid w:val="00E57CBB"/>
    <w:rsid w:val="00E678EF"/>
    <w:rsid w:val="00E96BE2"/>
    <w:rsid w:val="00EB02FF"/>
    <w:rsid w:val="00EB0768"/>
    <w:rsid w:val="00EC652C"/>
    <w:rsid w:val="00ED4021"/>
    <w:rsid w:val="00F06218"/>
    <w:rsid w:val="00F22A0B"/>
    <w:rsid w:val="00F45B74"/>
    <w:rsid w:val="00FC3994"/>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C568EDFA-B5AA-442C-81CC-3E9B9C65B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502907"/>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B220E3"/>
    <w:pPr>
      <w:keepNext/>
      <w:keepLines/>
      <w:shd w:val="clear" w:color="auto" w:fill="FFFFFF"/>
      <w:spacing w:after="0" w:line="900" w:lineRule="atLeast"/>
      <w:jc w:val="center"/>
      <w:textAlignment w:val="baseline"/>
      <w:outlineLvl w:val="0"/>
    </w:pPr>
    <w:rPr>
      <w:rFonts w:eastAsiaTheme="majorEastAsia" w:cstheme="majorBidi"/>
      <w:b/>
      <w:szCs w:val="28"/>
    </w:rPr>
  </w:style>
  <w:style w:type="paragraph" w:styleId="Titre2">
    <w:name w:val="heading 2"/>
    <w:aliases w:val="Titre 2 CGPC"/>
    <w:basedOn w:val="CGPC-elearning"/>
    <w:next w:val="Normal"/>
    <w:link w:val="Titre2Car"/>
    <w:autoRedefine/>
    <w:uiPriority w:val="9"/>
    <w:unhideWhenUsed/>
    <w:qFormat/>
    <w:rsid w:val="00502907"/>
    <w:pPr>
      <w:keepNext/>
      <w:keepLines/>
      <w:numPr>
        <w:numId w:val="1"/>
      </w:numPr>
      <w:spacing w:after="0" w:line="600" w:lineRule="atLeast"/>
      <w:contextualSpacing/>
      <w:jc w:val="both"/>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502907"/>
    <w:pPr>
      <w:keepNext/>
      <w:keepLines/>
      <w:numPr>
        <w:numId w:val="4"/>
      </w:numPr>
      <w:shd w:val="clear" w:color="auto" w:fill="FFFFFF"/>
      <w:spacing w:after="0" w:line="675" w:lineRule="atLeast"/>
      <w:jc w:val="both"/>
      <w:textAlignment w:val="baseline"/>
      <w:outlineLvl w:val="2"/>
    </w:pPr>
    <w:rPr>
      <w:rFonts w:eastAsia="Times New Roman"/>
      <w:b/>
      <w:color w:val="3A5D9C"/>
      <w:sz w:val="44"/>
      <w:szCs w:val="30"/>
      <w:lang w:eastAsia="fr-FR"/>
    </w:rPr>
  </w:style>
  <w:style w:type="paragraph" w:styleId="Titre4">
    <w:name w:val="heading 4"/>
    <w:aliases w:val="Titre 4 CGPC"/>
    <w:basedOn w:val="CGPC-elearning"/>
    <w:next w:val="Normal"/>
    <w:link w:val="Titre4Car"/>
    <w:autoRedefine/>
    <w:uiPriority w:val="9"/>
    <w:unhideWhenUsed/>
    <w:qFormat/>
    <w:rsid w:val="00D47B70"/>
    <w:pPr>
      <w:keepNext/>
      <w:keepLines/>
      <w:numPr>
        <w:numId w:val="31"/>
      </w:numPr>
      <w:spacing w:before="280" w:after="240"/>
      <w:outlineLvl w:val="3"/>
    </w:pPr>
    <w:rPr>
      <w:rFonts w:eastAsiaTheme="majorEastAsia" w:cstheme="majorBidi"/>
      <w:b/>
      <w:iCs/>
      <w:color w:val="2F5496" w:themeColor="accent1" w:themeShade="BF"/>
      <w:sz w:val="32"/>
      <w:u w:val="single"/>
    </w:rPr>
  </w:style>
  <w:style w:type="paragraph" w:styleId="Titre5">
    <w:name w:val="heading 5"/>
    <w:aliases w:val="Titre 5 CGPC"/>
    <w:basedOn w:val="CGPC-elearning"/>
    <w:next w:val="Normal"/>
    <w:link w:val="Titre5Car"/>
    <w:autoRedefine/>
    <w:uiPriority w:val="9"/>
    <w:unhideWhenUsed/>
    <w:qFormat/>
    <w:rsid w:val="00D47B70"/>
    <w:pPr>
      <w:keepNext/>
      <w:keepLines/>
      <w:numPr>
        <w:numId w:val="13"/>
      </w:numPr>
      <w:spacing w:before="400" w:after="360"/>
      <w:outlineLvl w:val="4"/>
    </w:pPr>
    <w:rPr>
      <w:rFonts w:eastAsia="Times New Roman" w:cstheme="majorBidi"/>
      <w:b/>
      <w:i/>
      <w:color w:val="2F5496" w:themeColor="accent1" w:themeShade="BF"/>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502907"/>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B220E3"/>
    <w:rPr>
      <w:rFonts w:ascii="Open Sans" w:eastAsiaTheme="majorEastAsia" w:hAnsi="Open Sans" w:cstheme="majorBidi"/>
      <w:b/>
      <w:kern w:val="0"/>
      <w:sz w:val="28"/>
      <w:szCs w:val="28"/>
      <w:shd w:val="clear" w:color="auto" w:fill="FFFFFF"/>
      <w14:ligatures w14:val="none"/>
    </w:rPr>
  </w:style>
  <w:style w:type="paragraph" w:customStyle="1" w:styleId="CGPC-elearning">
    <w:name w:val="CGPC-elearning"/>
    <w:basedOn w:val="Normal"/>
    <w:link w:val="CGPC-elearningCar"/>
    <w:autoRedefine/>
    <w:qFormat/>
    <w:rsid w:val="003D4947"/>
    <w:pPr>
      <w:jc w:val="left"/>
    </w:pPr>
    <w:rPr>
      <w:rFonts w:cs="Open Sans"/>
      <w:bCs/>
      <w:color w:val="666666"/>
      <w:kern w:val="2"/>
      <w:szCs w:val="21"/>
      <w:bdr w:val="none" w:sz="0" w:space="0" w:color="auto" w:frame="1"/>
      <w14:ligatures w14:val="standardContextual"/>
    </w:rPr>
  </w:style>
  <w:style w:type="character" w:customStyle="1" w:styleId="CGPC-elearningCar">
    <w:name w:val="CGPC-elearning Car"/>
    <w:basedOn w:val="Policepardfaut"/>
    <w:link w:val="CGPC-elearning"/>
    <w:rsid w:val="003D4947"/>
    <w:rPr>
      <w:rFonts w:ascii="Open Sans" w:hAnsi="Open Sans" w:cs="Open Sans"/>
      <w:bCs/>
      <w:color w:val="666666"/>
      <w:sz w:val="24"/>
      <w:szCs w:val="21"/>
      <w:bdr w:val="none" w:sz="0" w:space="0" w:color="auto" w:frame="1"/>
    </w:rPr>
  </w:style>
  <w:style w:type="character" w:customStyle="1" w:styleId="Titre3Car">
    <w:name w:val="Titre 3 Car"/>
    <w:aliases w:val="Titre 3 CGPC Car"/>
    <w:basedOn w:val="Policepardfaut"/>
    <w:link w:val="Titre3"/>
    <w:uiPriority w:val="9"/>
    <w:rsid w:val="00502907"/>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D47B70"/>
    <w:rPr>
      <w:rFonts w:ascii="Open Sans" w:eastAsiaTheme="majorEastAsia" w:hAnsi="Open Sans" w:cstheme="majorBidi"/>
      <w:b/>
      <w:bCs/>
      <w:iCs/>
      <w:color w:val="2F5496" w:themeColor="accent1" w:themeShade="BF"/>
      <w:sz w:val="32"/>
      <w:szCs w:val="21"/>
      <w:u w:val="single"/>
      <w:bdr w:val="none" w:sz="0" w:space="0" w:color="auto" w:frame="1"/>
    </w:rPr>
  </w:style>
  <w:style w:type="character" w:customStyle="1" w:styleId="Titre5Car">
    <w:name w:val="Titre 5 Car"/>
    <w:aliases w:val="Titre 5 CGPC Car"/>
    <w:basedOn w:val="Policepardfaut"/>
    <w:link w:val="Titre5"/>
    <w:uiPriority w:val="9"/>
    <w:rsid w:val="00D47B70"/>
    <w:rPr>
      <w:rFonts w:ascii="Open Sans" w:eastAsia="Times New Roman" w:hAnsi="Open Sans" w:cstheme="majorBidi"/>
      <w:b/>
      <w:bCs/>
      <w:i/>
      <w:color w:val="2F5496" w:themeColor="accent1" w:themeShade="BF"/>
      <w:sz w:val="28"/>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extedebulles">
    <w:name w:val="Balloon Text"/>
    <w:basedOn w:val="Normal"/>
    <w:link w:val="TextedebullesCar"/>
    <w:uiPriority w:val="99"/>
    <w:semiHidden/>
    <w:unhideWhenUsed/>
    <w:rsid w:val="008E5D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E5D4A"/>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2294744">
      <w:bodyDiv w:val="1"/>
      <w:marLeft w:val="0"/>
      <w:marRight w:val="0"/>
      <w:marTop w:val="0"/>
      <w:marBottom w:val="0"/>
      <w:divBdr>
        <w:top w:val="none" w:sz="0" w:space="0" w:color="auto"/>
        <w:left w:val="none" w:sz="0" w:space="0" w:color="auto"/>
        <w:bottom w:val="none" w:sz="0" w:space="0" w:color="auto"/>
        <w:right w:val="none" w:sz="0" w:space="0" w:color="auto"/>
      </w:divBdr>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894051895">
      <w:bodyDiv w:val="1"/>
      <w:marLeft w:val="0"/>
      <w:marRight w:val="0"/>
      <w:marTop w:val="0"/>
      <w:marBottom w:val="0"/>
      <w:divBdr>
        <w:top w:val="none" w:sz="0" w:space="0" w:color="auto"/>
        <w:left w:val="none" w:sz="0" w:space="0" w:color="auto"/>
        <w:bottom w:val="none" w:sz="0" w:space="0" w:color="auto"/>
        <w:right w:val="none" w:sz="0" w:space="0" w:color="auto"/>
      </w:divBdr>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298754511">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27459524">
      <w:bodyDiv w:val="1"/>
      <w:marLeft w:val="0"/>
      <w:marRight w:val="0"/>
      <w:marTop w:val="0"/>
      <w:marBottom w:val="0"/>
      <w:divBdr>
        <w:top w:val="none" w:sz="0" w:space="0" w:color="auto"/>
        <w:left w:val="none" w:sz="0" w:space="0" w:color="auto"/>
        <w:bottom w:val="none" w:sz="0" w:space="0" w:color="auto"/>
        <w:right w:val="none" w:sz="0" w:space="0" w:color="auto"/>
      </w:divBdr>
    </w:div>
    <w:div w:id="1457217371">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2FCDC0C-FBAB-40FA-8090-BCE568A2940A}"/>
</file>

<file path=customXml/itemProps2.xml><?xml version="1.0" encoding="utf-8"?>
<ds:datastoreItem xmlns:ds="http://schemas.openxmlformats.org/officeDocument/2006/customXml" ds:itemID="{D3B4337A-68C2-4CB4-81D2-205D14000244}">
  <ds:schemaRefs>
    <ds:schemaRef ds:uri="http://schemas.openxmlformats.org/officeDocument/2006/bibliography"/>
  </ds:schemaRefs>
</ds:datastoreItem>
</file>

<file path=customXml/itemProps3.xml><?xml version="1.0" encoding="utf-8"?>
<ds:datastoreItem xmlns:ds="http://schemas.openxmlformats.org/officeDocument/2006/customXml" ds:itemID="{DEDC362E-6F12-4814-A28F-255B4153D9FB}">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8250A927-E19C-42C4-A08F-F1C7B8A1BB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778</Words>
  <Characters>4435</Characters>
  <Application>Microsoft Office Word</Application>
  <DocSecurity>0</DocSecurity>
  <Lines>36</Lines>
  <Paragraphs>10</Paragraphs>
  <ScaleCrop>false</ScaleCrop>
  <HeadingPairs>
    <vt:vector size="2" baseType="variant">
      <vt:variant>
        <vt:lpstr>Titre</vt:lpstr>
      </vt:variant>
      <vt:variant>
        <vt:i4>1</vt:i4>
      </vt:variant>
    </vt:vector>
  </HeadingPairs>
  <TitlesOfParts>
    <vt:vector size="1" baseType="lpstr">
      <vt:lpstr>Chapitre 6</vt:lpstr>
    </vt:vector>
  </TitlesOfParts>
  <Company>CGPC - membre FPSB</Company>
  <LinksUpToDate>false</LinksUpToDate>
  <CharactersWithSpaces>5203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6 : De la gestion des successions et libéralités transfrontalières</dc:title>
  <dc:subject>De la gestion des successions et libéralités transfrontalières</dc:subject>
  <dc:creator>Renaud Duval</dc:creator>
  <cp:lastModifiedBy>Renaud Duval</cp:lastModifiedBy>
  <cp:revision>9</cp:revision>
  <cp:lastPrinted>2024-02-16T15:51:00Z</cp:lastPrinted>
  <dcterms:created xsi:type="dcterms:W3CDTF">2024-03-30T11:46:00Z</dcterms:created>
  <dcterms:modified xsi:type="dcterms:W3CDTF">2025-01-02T16:01:00Z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